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FF" w:rsidRPr="001B34F3" w:rsidRDefault="00975F4E" w:rsidP="001C288C">
      <w:pPr>
        <w:tabs>
          <w:tab w:val="center" w:pos="4680"/>
        </w:tabs>
        <w:suppressAutoHyphens/>
        <w:jc w:val="center"/>
        <w:rPr>
          <w:rFonts w:ascii="Times New Roman" w:hAnsi="Times New Roman"/>
          <w:spacing w:val="-3"/>
        </w:rPr>
      </w:pPr>
      <w:r w:rsidRPr="001B34F3">
        <w:rPr>
          <w:rFonts w:ascii="Times New Roman" w:hAnsi="Times New Roman"/>
          <w:spacing w:val="-3"/>
        </w:rPr>
        <w:t>Tenure &amp; Promotion Criteria</w:t>
      </w:r>
    </w:p>
    <w:p w:rsidR="001C288C" w:rsidRPr="001B34F3" w:rsidRDefault="00975F4E" w:rsidP="001C288C">
      <w:pPr>
        <w:tabs>
          <w:tab w:val="center" w:pos="4680"/>
        </w:tabs>
        <w:suppressAutoHyphens/>
        <w:jc w:val="center"/>
        <w:rPr>
          <w:rFonts w:ascii="Times New Roman" w:hAnsi="Times New Roman"/>
          <w:spacing w:val="-3"/>
        </w:rPr>
      </w:pPr>
      <w:r w:rsidRPr="001B34F3">
        <w:rPr>
          <w:rFonts w:ascii="Times New Roman" w:hAnsi="Times New Roman"/>
          <w:spacing w:val="-3"/>
        </w:rPr>
        <w:t>Chemistry Department</w:t>
      </w:r>
    </w:p>
    <w:p w:rsidR="002B26FF" w:rsidRPr="001B34F3" w:rsidRDefault="00D11563" w:rsidP="001C288C">
      <w:pPr>
        <w:tabs>
          <w:tab w:val="center" w:pos="4680"/>
        </w:tabs>
        <w:suppressAutoHyphens/>
        <w:jc w:val="center"/>
        <w:rPr>
          <w:rFonts w:ascii="Times New Roman" w:hAnsi="Times New Roman"/>
          <w:spacing w:val="-3"/>
        </w:rPr>
      </w:pPr>
      <w:r w:rsidRPr="001B34F3">
        <w:rPr>
          <w:rFonts w:ascii="Times New Roman" w:hAnsi="Times New Roman"/>
          <w:spacing w:val="-3"/>
        </w:rPr>
        <w:t>February</w:t>
      </w:r>
      <w:r w:rsidR="0062283A" w:rsidRPr="001B34F3">
        <w:rPr>
          <w:rFonts w:ascii="Times New Roman" w:hAnsi="Times New Roman"/>
          <w:spacing w:val="-3"/>
        </w:rPr>
        <w:t xml:space="preserve"> </w:t>
      </w:r>
      <w:r w:rsidR="005A5E04" w:rsidRPr="001B34F3">
        <w:rPr>
          <w:rFonts w:ascii="Times New Roman" w:hAnsi="Times New Roman"/>
          <w:spacing w:val="-3"/>
        </w:rPr>
        <w:t>201</w:t>
      </w:r>
      <w:r w:rsidR="009A23B1" w:rsidRPr="001B34F3">
        <w:rPr>
          <w:rFonts w:ascii="Times New Roman" w:hAnsi="Times New Roman"/>
          <w:spacing w:val="-3"/>
        </w:rPr>
        <w:t>7</w:t>
      </w:r>
    </w:p>
    <w:p w:rsidR="002B26FF" w:rsidRPr="001B34F3" w:rsidRDefault="002B26FF" w:rsidP="00B05464">
      <w:pPr>
        <w:tabs>
          <w:tab w:val="left" w:pos="-720"/>
        </w:tabs>
        <w:suppressAutoHyphens/>
        <w:jc w:val="both"/>
        <w:rPr>
          <w:rFonts w:ascii="Times New Roman" w:hAnsi="Times New Roman"/>
          <w:spacing w:val="-3"/>
        </w:rPr>
      </w:pPr>
    </w:p>
    <w:p w:rsidR="001C288C" w:rsidRPr="001B34F3" w:rsidRDefault="001C288C" w:rsidP="00B05464">
      <w:pPr>
        <w:tabs>
          <w:tab w:val="left" w:pos="-720"/>
        </w:tabs>
        <w:suppressAutoHyphens/>
        <w:jc w:val="both"/>
        <w:rPr>
          <w:rFonts w:ascii="Times New Roman" w:hAnsi="Times New Roman"/>
          <w:spacing w:val="-3"/>
        </w:rPr>
      </w:pPr>
    </w:p>
    <w:p w:rsidR="002B26FF" w:rsidRPr="001B34F3" w:rsidRDefault="00975F4E" w:rsidP="00B05464">
      <w:pPr>
        <w:tabs>
          <w:tab w:val="left" w:pos="-720"/>
        </w:tabs>
        <w:suppressAutoHyphens/>
        <w:jc w:val="both"/>
        <w:rPr>
          <w:rFonts w:ascii="Times New Roman" w:hAnsi="Times New Roman"/>
          <w:spacing w:val="-3"/>
        </w:rPr>
      </w:pPr>
      <w:r w:rsidRPr="001B34F3">
        <w:rPr>
          <w:rFonts w:ascii="Times New Roman" w:hAnsi="Times New Roman"/>
          <w:spacing w:val="-3"/>
        </w:rPr>
        <w:t>The Chemistry Department standard</w:t>
      </w:r>
      <w:r w:rsidR="00755496" w:rsidRPr="001B34F3">
        <w:rPr>
          <w:rFonts w:ascii="Times New Roman" w:hAnsi="Times New Roman"/>
          <w:spacing w:val="-3"/>
        </w:rPr>
        <w:t>s for tenure and promotion reflect a directed</w:t>
      </w:r>
      <w:r w:rsidR="00112B4B" w:rsidRPr="001B34F3">
        <w:rPr>
          <w:rFonts w:ascii="Times New Roman" w:hAnsi="Times New Roman"/>
          <w:spacing w:val="-3"/>
        </w:rPr>
        <w:t xml:space="preserve"> interpretation of the broader University-wide criteria consistent with the departmental mission.</w:t>
      </w:r>
      <w:r w:rsidRPr="001B34F3">
        <w:rPr>
          <w:rFonts w:ascii="Times New Roman" w:hAnsi="Times New Roman"/>
          <w:spacing w:val="-3"/>
        </w:rPr>
        <w:t xml:space="preserve"> Candidates should seek the guidance of the chair of the department, dean of the college, and senior faculty to determine the appropriateness of any activity or product that may be used to support a petition for either tenure </w:t>
      </w:r>
      <w:r w:rsidR="00112B4B" w:rsidRPr="001B34F3">
        <w:rPr>
          <w:rFonts w:ascii="Times New Roman" w:hAnsi="Times New Roman"/>
          <w:spacing w:val="-3"/>
        </w:rPr>
        <w:t>or</w:t>
      </w:r>
      <w:r w:rsidRPr="001B34F3">
        <w:rPr>
          <w:rFonts w:ascii="Times New Roman" w:hAnsi="Times New Roman"/>
          <w:spacing w:val="-3"/>
        </w:rPr>
        <w:t xml:space="preserve"> promotion.</w:t>
      </w:r>
    </w:p>
    <w:p w:rsidR="002B26FF" w:rsidRPr="001B34F3" w:rsidRDefault="002B26FF" w:rsidP="00B05464">
      <w:pPr>
        <w:tabs>
          <w:tab w:val="left" w:pos="-720"/>
        </w:tabs>
        <w:suppressAutoHyphens/>
        <w:jc w:val="both"/>
        <w:rPr>
          <w:rFonts w:ascii="Times New Roman" w:hAnsi="Times New Roman"/>
          <w:spacing w:val="-3"/>
        </w:rPr>
      </w:pPr>
    </w:p>
    <w:p w:rsidR="001C288C" w:rsidRPr="001B34F3" w:rsidRDefault="001C288C" w:rsidP="00B05464">
      <w:pPr>
        <w:tabs>
          <w:tab w:val="left" w:pos="-720"/>
        </w:tabs>
        <w:suppressAutoHyphens/>
        <w:jc w:val="both"/>
        <w:rPr>
          <w:rFonts w:ascii="Times New Roman" w:hAnsi="Times New Roman"/>
          <w:spacing w:val="-3"/>
        </w:rPr>
      </w:pPr>
    </w:p>
    <w:p w:rsidR="002B26FF" w:rsidRPr="001B34F3" w:rsidRDefault="00975F4E" w:rsidP="00B05464">
      <w:pPr>
        <w:tabs>
          <w:tab w:val="center" w:pos="4680"/>
        </w:tabs>
        <w:suppressAutoHyphens/>
        <w:jc w:val="both"/>
        <w:rPr>
          <w:rFonts w:ascii="Times New Roman" w:hAnsi="Times New Roman"/>
          <w:spacing w:val="-3"/>
        </w:rPr>
      </w:pPr>
      <w:r w:rsidRPr="001B34F3">
        <w:rPr>
          <w:rFonts w:ascii="Times New Roman" w:hAnsi="Times New Roman"/>
          <w:spacing w:val="-3"/>
        </w:rPr>
        <w:tab/>
      </w:r>
      <w:r w:rsidRPr="001B34F3">
        <w:rPr>
          <w:rFonts w:ascii="Times New Roman" w:hAnsi="Times New Roman"/>
          <w:b/>
          <w:spacing w:val="-3"/>
          <w:u w:val="single"/>
        </w:rPr>
        <w:t>Tenure</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B05464">
      <w:pPr>
        <w:tabs>
          <w:tab w:val="left" w:pos="-720"/>
        </w:tabs>
        <w:suppressAutoHyphens/>
        <w:jc w:val="both"/>
        <w:rPr>
          <w:rFonts w:ascii="Times New Roman" w:hAnsi="Times New Roman"/>
          <w:spacing w:val="-3"/>
        </w:rPr>
      </w:pPr>
      <w:r w:rsidRPr="001B34F3">
        <w:rPr>
          <w:rFonts w:ascii="Times New Roman" w:hAnsi="Times New Roman"/>
          <w:spacing w:val="-3"/>
        </w:rPr>
        <w:t xml:space="preserve">Tenure is awarded to the candidate who has demonstrated a record of effective and successful teaching, progress towards a program of research, and discipline-related service. By granting tenure, the department, College, and University judge the candidate to be academically strong, professionally committed, and personally responsible to meet the rigors of intellectual leadership. Generally, the candidate is eligible to petition for tenure during the sixth year of full-time employment in the department. </w:t>
      </w:r>
      <w:r w:rsidR="00112B4B" w:rsidRPr="001B34F3">
        <w:rPr>
          <w:rFonts w:ascii="Times New Roman" w:hAnsi="Times New Roman"/>
          <w:spacing w:val="-3"/>
        </w:rPr>
        <w:t>Under</w:t>
      </w:r>
      <w:r w:rsidRPr="001B34F3">
        <w:rPr>
          <w:rFonts w:ascii="Times New Roman" w:hAnsi="Times New Roman"/>
          <w:spacing w:val="-3"/>
        </w:rPr>
        <w:t xml:space="preserve"> unusual circumstances, </w:t>
      </w:r>
      <w:r w:rsidR="00112B4B" w:rsidRPr="001B34F3">
        <w:rPr>
          <w:rFonts w:ascii="Times New Roman" w:hAnsi="Times New Roman"/>
          <w:spacing w:val="-3"/>
        </w:rPr>
        <w:t xml:space="preserve">a candidate may petition early </w:t>
      </w:r>
      <w:r w:rsidRPr="001B34F3">
        <w:rPr>
          <w:rFonts w:ascii="Times New Roman" w:hAnsi="Times New Roman"/>
          <w:spacing w:val="-3"/>
        </w:rPr>
        <w:t>or may enter the department with negotiated years towards tenure. The requirements for tenure include, but are not limited to, the following:</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2"/>
        </w:numPr>
        <w:tabs>
          <w:tab w:val="left" w:pos="-720"/>
        </w:tabs>
        <w:suppressAutoHyphens/>
        <w:jc w:val="both"/>
        <w:rPr>
          <w:rFonts w:ascii="Times New Roman" w:hAnsi="Times New Roman"/>
          <w:spacing w:val="-3"/>
        </w:rPr>
      </w:pPr>
      <w:r w:rsidRPr="001B34F3">
        <w:rPr>
          <w:rFonts w:ascii="Times New Roman" w:hAnsi="Times New Roman"/>
          <w:spacing w:val="-3"/>
        </w:rPr>
        <w:t>Ph.D. in Chemistry or related field</w:t>
      </w:r>
      <w:r w:rsidR="006C2689" w:rsidRPr="001B34F3">
        <w:rPr>
          <w:rFonts w:ascii="Times New Roman" w:hAnsi="Times New Roman"/>
          <w:spacing w:val="-3"/>
        </w:rPr>
        <w:t xml:space="preserve"> or </w:t>
      </w:r>
      <w:r w:rsidR="00D416C8" w:rsidRPr="001B34F3">
        <w:rPr>
          <w:rFonts w:ascii="Times New Roman" w:hAnsi="Times New Roman"/>
          <w:spacing w:val="-3"/>
        </w:rPr>
        <w:t>terminal degree as determined by the Chemistry Department at date of hire.</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2"/>
        </w:numPr>
        <w:tabs>
          <w:tab w:val="left" w:pos="-720"/>
        </w:tabs>
        <w:suppressAutoHyphens/>
        <w:jc w:val="both"/>
        <w:rPr>
          <w:rFonts w:ascii="Times New Roman" w:hAnsi="Times New Roman"/>
          <w:spacing w:val="-3"/>
        </w:rPr>
      </w:pPr>
      <w:r w:rsidRPr="001B34F3">
        <w:rPr>
          <w:rFonts w:ascii="Times New Roman" w:hAnsi="Times New Roman"/>
          <w:spacing w:val="-3"/>
        </w:rPr>
        <w:t xml:space="preserve">A probationary period not to exceed </w:t>
      </w:r>
      <w:r w:rsidR="003E588A" w:rsidRPr="001B34F3">
        <w:rPr>
          <w:rFonts w:ascii="Times New Roman" w:hAnsi="Times New Roman"/>
          <w:spacing w:val="-3"/>
        </w:rPr>
        <w:t>6</w:t>
      </w:r>
      <w:r w:rsidRPr="001B34F3">
        <w:rPr>
          <w:rFonts w:ascii="Times New Roman" w:hAnsi="Times New Roman"/>
          <w:spacing w:val="-3"/>
        </w:rPr>
        <w:t xml:space="preserve"> years</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2"/>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Evidence of effective and successful teaching could include, but is not limited to, a pattern of consistently positive ratings on department and college student perception forms and positive peer/chair evaluations; letters of support from student, graduates, faculty; student products; demonstrated success of individually supervised students; use of innovative instructional methods; development and implementation of new courses or programs; and other appropriate evidence of teaching success</w:t>
      </w:r>
      <w:r w:rsidR="005A5E04" w:rsidRPr="001B34F3">
        <w:rPr>
          <w:rFonts w:ascii="Times New Roman" w:hAnsi="Times New Roman"/>
          <w:spacing w:val="-3"/>
        </w:rPr>
        <w:t>, such as student performance on nationally standardized exams</w:t>
      </w:r>
      <w:r w:rsidRPr="001B34F3">
        <w:rPr>
          <w:rFonts w:ascii="Times New Roman" w:hAnsi="Times New Roman"/>
          <w:spacing w:val="-3"/>
        </w:rPr>
        <w:t>.</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2"/>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Evidence of progress</w:t>
      </w:r>
      <w:r w:rsidR="005A5E04" w:rsidRPr="001B34F3">
        <w:rPr>
          <w:rFonts w:ascii="Times New Roman" w:hAnsi="Times New Roman"/>
          <w:spacing w:val="-3"/>
        </w:rPr>
        <w:t xml:space="preserve"> towards a program of </w:t>
      </w:r>
      <w:r w:rsidRPr="001B34F3">
        <w:rPr>
          <w:rFonts w:ascii="Times New Roman" w:hAnsi="Times New Roman"/>
          <w:spacing w:val="-3"/>
        </w:rPr>
        <w:t xml:space="preserve"> research could include, but is not limited to, </w:t>
      </w:r>
      <w:r w:rsidR="005A5E04" w:rsidRPr="001B34F3">
        <w:rPr>
          <w:rFonts w:ascii="Times New Roman" w:hAnsi="Times New Roman"/>
          <w:spacing w:val="-3"/>
        </w:rPr>
        <w:t xml:space="preserve">one or more </w:t>
      </w:r>
      <w:r w:rsidRPr="001B34F3">
        <w:rPr>
          <w:rFonts w:ascii="Times New Roman" w:hAnsi="Times New Roman"/>
          <w:spacing w:val="-3"/>
        </w:rPr>
        <w:t>publication</w:t>
      </w:r>
      <w:r w:rsidR="005A5E04" w:rsidRPr="001B34F3">
        <w:rPr>
          <w:rFonts w:ascii="Times New Roman" w:hAnsi="Times New Roman"/>
          <w:spacing w:val="-3"/>
        </w:rPr>
        <w:t>(</w:t>
      </w:r>
      <w:r w:rsidRPr="001B34F3">
        <w:rPr>
          <w:rFonts w:ascii="Times New Roman" w:hAnsi="Times New Roman"/>
          <w:spacing w:val="-3"/>
        </w:rPr>
        <w:t>s</w:t>
      </w:r>
      <w:r w:rsidR="005A5E04" w:rsidRPr="001B34F3">
        <w:rPr>
          <w:rFonts w:ascii="Times New Roman" w:hAnsi="Times New Roman"/>
          <w:spacing w:val="-3"/>
        </w:rPr>
        <w:t>)</w:t>
      </w:r>
      <w:r w:rsidRPr="001B34F3">
        <w:rPr>
          <w:rFonts w:ascii="Times New Roman" w:hAnsi="Times New Roman"/>
          <w:spacing w:val="-3"/>
        </w:rPr>
        <w:t xml:space="preserve"> in </w:t>
      </w:r>
      <w:r w:rsidR="005A5E04" w:rsidRPr="001B34F3">
        <w:rPr>
          <w:rFonts w:ascii="Times New Roman" w:hAnsi="Times New Roman"/>
          <w:spacing w:val="-3"/>
        </w:rPr>
        <w:t xml:space="preserve">a </w:t>
      </w:r>
      <w:r w:rsidRPr="001B34F3">
        <w:rPr>
          <w:rFonts w:ascii="Times New Roman" w:hAnsi="Times New Roman"/>
          <w:spacing w:val="-3"/>
        </w:rPr>
        <w:t xml:space="preserve">refereed journal; presentations at professional meetings; grants, both internal and external; seminars given; </w:t>
      </w:r>
      <w:r w:rsidR="00383F40" w:rsidRPr="001B34F3">
        <w:rPr>
          <w:rFonts w:ascii="Times New Roman" w:hAnsi="Times New Roman"/>
          <w:spacing w:val="-3"/>
        </w:rPr>
        <w:t xml:space="preserve">guided </w:t>
      </w:r>
      <w:r w:rsidRPr="001B34F3">
        <w:rPr>
          <w:rFonts w:ascii="Times New Roman" w:hAnsi="Times New Roman"/>
          <w:spacing w:val="-3"/>
        </w:rPr>
        <w:t xml:space="preserve">student </w:t>
      </w:r>
      <w:r w:rsidR="00383F40" w:rsidRPr="001B34F3">
        <w:rPr>
          <w:rFonts w:ascii="Times New Roman" w:hAnsi="Times New Roman"/>
          <w:spacing w:val="-3"/>
        </w:rPr>
        <w:t xml:space="preserve">research resulting in student </w:t>
      </w:r>
      <w:r w:rsidRPr="001B34F3">
        <w:rPr>
          <w:rFonts w:ascii="Times New Roman" w:hAnsi="Times New Roman"/>
          <w:spacing w:val="-3"/>
        </w:rPr>
        <w:t>presentations, and other appropriate evidence of scholarship and research.</w:t>
      </w:r>
    </w:p>
    <w:p w:rsidR="002B26FF" w:rsidRPr="001B34F3" w:rsidRDefault="002B26FF" w:rsidP="00B05464">
      <w:pPr>
        <w:tabs>
          <w:tab w:val="left" w:pos="-720"/>
        </w:tabs>
        <w:suppressAutoHyphens/>
        <w:jc w:val="both"/>
        <w:rPr>
          <w:rFonts w:ascii="Times New Roman" w:hAnsi="Times New Roman"/>
          <w:spacing w:val="-3"/>
        </w:rPr>
      </w:pPr>
    </w:p>
    <w:p w:rsidR="00E13B8C" w:rsidRPr="001B34F3" w:rsidRDefault="00975F4E" w:rsidP="001C288C">
      <w:pPr>
        <w:pStyle w:val="ListParagraph"/>
        <w:numPr>
          <w:ilvl w:val="0"/>
          <w:numId w:val="2"/>
        </w:numPr>
        <w:suppressAutoHyphens/>
        <w:rPr>
          <w:rFonts w:ascii="Times New Roman" w:hAnsi="Times New Roman"/>
          <w:spacing w:val="-3"/>
        </w:rPr>
      </w:pPr>
      <w:r w:rsidRPr="001B34F3">
        <w:rPr>
          <w:rFonts w:ascii="Times New Roman" w:hAnsi="Times New Roman"/>
          <w:spacing w:val="-3"/>
        </w:rPr>
        <w:t xml:space="preserve">Service includes those beneficial activities that depend upon the professional expertise of the individual faculty member and that are beyond the normal classroom and scholarly activities. Evidence of service could include, but is not limited to, academic and career advising of students; chemistry club advisor; documented contributions to departmental activities, including, but not limited to recruiting; documentation of contributions to departmental, college, university, and community committees; documentation of maintenance and repair of instrumentation and computers; construction and maintenance of individual and department </w:t>
      </w:r>
      <w:r w:rsidR="00383F40" w:rsidRPr="001B34F3">
        <w:rPr>
          <w:rFonts w:ascii="Times New Roman" w:hAnsi="Times New Roman"/>
          <w:spacing w:val="-3"/>
        </w:rPr>
        <w:t>webpage and other electronic media</w:t>
      </w:r>
      <w:r w:rsidRPr="001B34F3">
        <w:rPr>
          <w:rFonts w:ascii="Times New Roman" w:hAnsi="Times New Roman"/>
          <w:spacing w:val="-3"/>
        </w:rPr>
        <w:t>; documentation of presentation of workshops or other educational offerings before community groups; service on boards or as an officer in those organizations requiring the individual’s professional expertise; and other appropriate evidence.</w:t>
      </w:r>
    </w:p>
    <w:p w:rsidR="001C288C" w:rsidRPr="001B34F3" w:rsidRDefault="001C288C">
      <w:pPr>
        <w:widowControl/>
        <w:overflowPunct/>
        <w:autoSpaceDE/>
        <w:autoSpaceDN/>
        <w:adjustRightInd/>
        <w:textAlignment w:val="auto"/>
        <w:rPr>
          <w:rFonts w:ascii="Times New Roman" w:hAnsi="Times New Roman"/>
          <w:spacing w:val="-3"/>
        </w:rPr>
      </w:pPr>
      <w:r w:rsidRPr="001B34F3">
        <w:rPr>
          <w:rFonts w:ascii="Times New Roman" w:hAnsi="Times New Roman"/>
          <w:spacing w:val="-3"/>
        </w:rPr>
        <w:br w:type="page"/>
      </w:r>
    </w:p>
    <w:p w:rsidR="002B26FF" w:rsidRPr="001B34F3" w:rsidRDefault="00975F4E" w:rsidP="001C288C">
      <w:pPr>
        <w:tabs>
          <w:tab w:val="center" w:pos="4680"/>
        </w:tabs>
        <w:suppressAutoHyphens/>
        <w:jc w:val="center"/>
        <w:rPr>
          <w:rFonts w:ascii="Times New Roman" w:hAnsi="Times New Roman"/>
          <w:spacing w:val="-3"/>
        </w:rPr>
      </w:pPr>
      <w:r w:rsidRPr="001B34F3">
        <w:rPr>
          <w:rFonts w:ascii="Times New Roman" w:hAnsi="Times New Roman"/>
          <w:b/>
          <w:spacing w:val="-3"/>
          <w:u w:val="single"/>
        </w:rPr>
        <w:lastRenderedPageBreak/>
        <w:t>Promotion</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B05464">
      <w:pPr>
        <w:tabs>
          <w:tab w:val="left" w:pos="-720"/>
        </w:tabs>
        <w:suppressAutoHyphens/>
        <w:jc w:val="both"/>
        <w:rPr>
          <w:rFonts w:ascii="Times New Roman" w:hAnsi="Times New Roman"/>
          <w:spacing w:val="-3"/>
        </w:rPr>
      </w:pPr>
      <w:r w:rsidRPr="001B34F3">
        <w:rPr>
          <w:rFonts w:ascii="Times New Roman" w:hAnsi="Times New Roman"/>
          <w:spacing w:val="-3"/>
        </w:rPr>
        <w:t>The minimum requirements for promotion are:</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B05464">
      <w:pPr>
        <w:pStyle w:val="ListParagraph"/>
        <w:numPr>
          <w:ilvl w:val="0"/>
          <w:numId w:val="2"/>
        </w:numPr>
        <w:tabs>
          <w:tab w:val="left" w:pos="-720"/>
          <w:tab w:val="left" w:pos="0"/>
        </w:tabs>
        <w:suppressAutoHyphens/>
        <w:jc w:val="both"/>
        <w:rPr>
          <w:rFonts w:ascii="Times New Roman" w:hAnsi="Times New Roman"/>
          <w:spacing w:val="-3"/>
        </w:rPr>
      </w:pPr>
      <w:r w:rsidRPr="001B34F3">
        <w:rPr>
          <w:rFonts w:ascii="Times New Roman" w:hAnsi="Times New Roman"/>
          <w:spacing w:val="-3"/>
          <w:u w:val="single"/>
        </w:rPr>
        <w:t>Assistant Professor</w:t>
      </w:r>
      <w:r w:rsidR="00595914" w:rsidRPr="001B34F3">
        <w:rPr>
          <w:rFonts w:ascii="Times New Roman" w:hAnsi="Times New Roman"/>
          <w:spacing w:val="-3"/>
        </w:rPr>
        <w:t xml:space="preserve"> </w:t>
      </w:r>
      <w:r w:rsidRPr="001B34F3">
        <w:rPr>
          <w:rFonts w:ascii="Times New Roman" w:hAnsi="Times New Roman"/>
          <w:spacing w:val="-3"/>
        </w:rPr>
        <w:t xml:space="preserve">is awarded to a Ph.D. in Chemistry </w:t>
      </w:r>
      <w:r w:rsidR="0062283A" w:rsidRPr="001B34F3">
        <w:rPr>
          <w:rFonts w:ascii="Times New Roman" w:hAnsi="Times New Roman"/>
          <w:spacing w:val="-3"/>
        </w:rPr>
        <w:t xml:space="preserve">or related field or terminal degree as determined by the Chemistry Department at date of hire, </w:t>
      </w:r>
      <w:r w:rsidRPr="001B34F3">
        <w:rPr>
          <w:rFonts w:ascii="Times New Roman" w:hAnsi="Times New Roman"/>
          <w:spacing w:val="-3"/>
        </w:rPr>
        <w:t xml:space="preserve">who is hired with the </w:t>
      </w:r>
      <w:r w:rsidR="00383F40" w:rsidRPr="001B34F3">
        <w:rPr>
          <w:rFonts w:ascii="Times New Roman" w:hAnsi="Times New Roman"/>
          <w:spacing w:val="-3"/>
        </w:rPr>
        <w:t xml:space="preserve">expectation </w:t>
      </w:r>
      <w:r w:rsidRPr="001B34F3">
        <w:rPr>
          <w:rFonts w:ascii="Times New Roman" w:hAnsi="Times New Roman"/>
          <w:spacing w:val="-3"/>
        </w:rPr>
        <w:t>that the candidate is capable of earning tenure</w:t>
      </w:r>
      <w:r w:rsidR="00383F40" w:rsidRPr="001B34F3">
        <w:rPr>
          <w:rFonts w:ascii="Times New Roman" w:hAnsi="Times New Roman"/>
          <w:spacing w:val="-3"/>
        </w:rPr>
        <w:t xml:space="preserve"> or who has earned tenure</w:t>
      </w:r>
      <w:r w:rsidRPr="001B34F3">
        <w:rPr>
          <w:rFonts w:ascii="Times New Roman" w:hAnsi="Times New Roman"/>
          <w:spacing w:val="-3"/>
        </w:rPr>
        <w:t>.</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DC3467" w:rsidP="00B05464">
      <w:pPr>
        <w:tabs>
          <w:tab w:val="left" w:pos="-720"/>
          <w:tab w:val="left" w:pos="0"/>
        </w:tabs>
        <w:suppressAutoHyphens/>
        <w:jc w:val="both"/>
        <w:rPr>
          <w:rFonts w:ascii="Times New Roman" w:hAnsi="Times New Roman"/>
          <w:spacing w:val="-3"/>
        </w:rPr>
      </w:pPr>
      <w:r w:rsidRPr="001B34F3">
        <w:rPr>
          <w:rFonts w:ascii="Times New Roman" w:hAnsi="Times New Roman"/>
          <w:spacing w:val="-3"/>
        </w:rPr>
        <w:t>Promotion from Assistant to</w:t>
      </w:r>
      <w:r w:rsidR="00383F40" w:rsidRPr="001B34F3">
        <w:rPr>
          <w:rFonts w:ascii="Times New Roman" w:hAnsi="Times New Roman"/>
          <w:spacing w:val="-3"/>
        </w:rPr>
        <w:t xml:space="preserve"> </w:t>
      </w:r>
      <w:r w:rsidR="00975F4E" w:rsidRPr="001B34F3">
        <w:rPr>
          <w:rFonts w:ascii="Times New Roman" w:hAnsi="Times New Roman"/>
          <w:spacing w:val="-3"/>
          <w:u w:val="single"/>
        </w:rPr>
        <w:t xml:space="preserve">Associate Professor </w:t>
      </w:r>
      <w:r w:rsidR="00C81EC1" w:rsidRPr="001B34F3">
        <w:rPr>
          <w:rFonts w:ascii="Times New Roman" w:hAnsi="Times New Roman"/>
          <w:spacing w:val="-3"/>
          <w:u w:val="single"/>
        </w:rPr>
        <w:t>requires</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3"/>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 xml:space="preserve">A minimum of </w:t>
      </w:r>
      <w:r w:rsidR="00383F40" w:rsidRPr="001B34F3">
        <w:rPr>
          <w:rFonts w:ascii="Times New Roman" w:hAnsi="Times New Roman"/>
          <w:spacing w:val="-3"/>
        </w:rPr>
        <w:t xml:space="preserve">6 </w:t>
      </w:r>
      <w:r w:rsidRPr="001B34F3">
        <w:rPr>
          <w:rFonts w:ascii="Times New Roman" w:hAnsi="Times New Roman"/>
          <w:spacing w:val="-3"/>
        </w:rPr>
        <w:t>years of full-time university teaching, four of which must have been at the rank of Assistant Professor.</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3"/>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Successful teaching as defined for tenure, with additional emphasis on development of courses, curricular leadership, and demonstration of innovation in classroom performance.</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3"/>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Research and scholarly activity as defined for tenure, which includes at minimum one product that has been subject to external review</w:t>
      </w:r>
      <w:r w:rsidR="004C7210" w:rsidRPr="001B34F3">
        <w:rPr>
          <w:rFonts w:ascii="Times New Roman" w:hAnsi="Times New Roman"/>
          <w:spacing w:val="-3"/>
        </w:rPr>
        <w:t xml:space="preserve"> and accepted for publication,</w:t>
      </w:r>
      <w:r w:rsidRPr="001B34F3">
        <w:rPr>
          <w:rFonts w:ascii="Times New Roman" w:hAnsi="Times New Roman"/>
          <w:spacing w:val="-3"/>
        </w:rPr>
        <w:t xml:space="preserve"> and a pattern of on-going research and scholarship demonstrated by </w:t>
      </w:r>
      <w:r w:rsidR="004C7210" w:rsidRPr="001B34F3">
        <w:rPr>
          <w:rFonts w:ascii="Times New Roman" w:hAnsi="Times New Roman"/>
          <w:spacing w:val="-3"/>
        </w:rPr>
        <w:t xml:space="preserve">faculty/student </w:t>
      </w:r>
      <w:r w:rsidRPr="001B34F3">
        <w:rPr>
          <w:rFonts w:ascii="Times New Roman" w:hAnsi="Times New Roman"/>
          <w:spacing w:val="-3"/>
        </w:rPr>
        <w:t>presentations</w:t>
      </w:r>
      <w:r w:rsidR="004C7210" w:rsidRPr="001B34F3">
        <w:rPr>
          <w:rFonts w:ascii="Times New Roman" w:hAnsi="Times New Roman"/>
          <w:spacing w:val="-3"/>
        </w:rPr>
        <w:t>,</w:t>
      </w:r>
      <w:r w:rsidRPr="001B34F3">
        <w:rPr>
          <w:rFonts w:ascii="Times New Roman" w:hAnsi="Times New Roman"/>
          <w:spacing w:val="-3"/>
        </w:rPr>
        <w:t xml:space="preserve"> publications</w:t>
      </w:r>
      <w:r w:rsidR="004C7210" w:rsidRPr="001B34F3">
        <w:rPr>
          <w:rFonts w:ascii="Times New Roman" w:hAnsi="Times New Roman"/>
          <w:spacing w:val="-3"/>
        </w:rPr>
        <w:t>, and/or grants</w:t>
      </w:r>
      <w:r w:rsidRPr="001B34F3">
        <w:rPr>
          <w:rFonts w:ascii="Times New Roman" w:hAnsi="Times New Roman"/>
          <w:spacing w:val="-3"/>
        </w:rPr>
        <w:t>.</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4C7210" w:rsidP="001C288C">
      <w:pPr>
        <w:pStyle w:val="ListParagraph"/>
        <w:numPr>
          <w:ilvl w:val="0"/>
          <w:numId w:val="3"/>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Service</w:t>
      </w:r>
      <w:r w:rsidR="00975F4E" w:rsidRPr="001B34F3">
        <w:rPr>
          <w:rFonts w:ascii="Times New Roman" w:hAnsi="Times New Roman"/>
          <w:spacing w:val="-3"/>
        </w:rPr>
        <w:t xml:space="preserve"> within the department and the potential for leadership roles at the college and/or university level. Appropriate discipline-related community service is also expected.</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DC3467" w:rsidP="00B05464">
      <w:pPr>
        <w:tabs>
          <w:tab w:val="left" w:pos="-720"/>
          <w:tab w:val="left" w:pos="0"/>
        </w:tabs>
        <w:suppressAutoHyphens/>
        <w:jc w:val="both"/>
        <w:rPr>
          <w:rFonts w:ascii="Times New Roman" w:hAnsi="Times New Roman"/>
          <w:spacing w:val="-3"/>
        </w:rPr>
      </w:pPr>
      <w:r w:rsidRPr="001B34F3">
        <w:rPr>
          <w:rFonts w:ascii="Times New Roman" w:hAnsi="Times New Roman"/>
          <w:spacing w:val="-3"/>
        </w:rPr>
        <w:t>Promotion from Associate to</w:t>
      </w:r>
      <w:r w:rsidR="00C00003" w:rsidRPr="001B34F3">
        <w:rPr>
          <w:rFonts w:ascii="Times New Roman" w:hAnsi="Times New Roman"/>
          <w:spacing w:val="-3"/>
        </w:rPr>
        <w:t xml:space="preserve"> </w:t>
      </w:r>
      <w:r w:rsidR="00975F4E" w:rsidRPr="001B34F3">
        <w:rPr>
          <w:rFonts w:ascii="Times New Roman" w:hAnsi="Times New Roman"/>
          <w:spacing w:val="-3"/>
          <w:u w:val="single"/>
        </w:rPr>
        <w:t xml:space="preserve">Full Professor </w:t>
      </w:r>
      <w:r w:rsidR="00C81EC1" w:rsidRPr="001B34F3">
        <w:rPr>
          <w:rFonts w:ascii="Times New Roman" w:hAnsi="Times New Roman"/>
          <w:spacing w:val="-3"/>
          <w:u w:val="single"/>
        </w:rPr>
        <w:t>requires</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4"/>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 xml:space="preserve">A minimum of 10 years of full-time college level teaching, four of which must have been at the Associate Professor </w:t>
      </w:r>
      <w:r w:rsidR="00E13457" w:rsidRPr="001B34F3">
        <w:rPr>
          <w:rFonts w:ascii="Times New Roman" w:hAnsi="Times New Roman"/>
          <w:spacing w:val="-3"/>
        </w:rPr>
        <w:t>position</w:t>
      </w:r>
      <w:r w:rsidRPr="001B34F3">
        <w:rPr>
          <w:rFonts w:ascii="Times New Roman" w:hAnsi="Times New Roman"/>
          <w:spacing w:val="-3"/>
        </w:rPr>
        <w:t>.</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4"/>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Continued successful teaching, as defined for Associate Professor</w:t>
      </w:r>
      <w:r w:rsidR="00E13457" w:rsidRPr="001B34F3">
        <w:rPr>
          <w:rFonts w:ascii="Times New Roman" w:hAnsi="Times New Roman"/>
          <w:spacing w:val="-3"/>
        </w:rPr>
        <w:t>.</w:t>
      </w:r>
    </w:p>
    <w:p w:rsidR="001C288C" w:rsidRPr="001B34F3" w:rsidRDefault="001C288C" w:rsidP="001C288C">
      <w:pPr>
        <w:tabs>
          <w:tab w:val="left" w:pos="-720"/>
          <w:tab w:val="left" w:pos="0"/>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4"/>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Research and scholarly activity as defined for Associate Professor that demonstrates a sustained pattern of refereed products including collaborative work with others.</w:t>
      </w:r>
    </w:p>
    <w:p w:rsidR="002B26FF" w:rsidRPr="001B34F3" w:rsidRDefault="002B26FF" w:rsidP="00B05464">
      <w:pPr>
        <w:tabs>
          <w:tab w:val="left" w:pos="-720"/>
        </w:tabs>
        <w:suppressAutoHyphens/>
        <w:jc w:val="both"/>
        <w:rPr>
          <w:rFonts w:ascii="Times New Roman" w:hAnsi="Times New Roman"/>
          <w:spacing w:val="-3"/>
        </w:rPr>
      </w:pPr>
    </w:p>
    <w:p w:rsidR="002B26FF" w:rsidRPr="001B34F3" w:rsidRDefault="00975F4E" w:rsidP="001C288C">
      <w:pPr>
        <w:pStyle w:val="ListParagraph"/>
        <w:numPr>
          <w:ilvl w:val="0"/>
          <w:numId w:val="4"/>
        </w:numPr>
        <w:tabs>
          <w:tab w:val="left" w:pos="-720"/>
          <w:tab w:val="left" w:pos="0"/>
          <w:tab w:val="left" w:pos="720"/>
        </w:tabs>
        <w:suppressAutoHyphens/>
        <w:jc w:val="both"/>
        <w:rPr>
          <w:rFonts w:ascii="Times New Roman" w:hAnsi="Times New Roman"/>
          <w:spacing w:val="-3"/>
        </w:rPr>
      </w:pPr>
      <w:r w:rsidRPr="001B34F3">
        <w:rPr>
          <w:rFonts w:ascii="Times New Roman" w:hAnsi="Times New Roman"/>
          <w:spacing w:val="-3"/>
        </w:rPr>
        <w:t>Service to the department, college</w:t>
      </w:r>
      <w:r w:rsidR="00755496" w:rsidRPr="001B34F3">
        <w:rPr>
          <w:rFonts w:ascii="Times New Roman" w:hAnsi="Times New Roman"/>
          <w:spacing w:val="-3"/>
        </w:rPr>
        <w:t>, university and community that</w:t>
      </w:r>
      <w:r w:rsidRPr="001B34F3">
        <w:rPr>
          <w:rFonts w:ascii="Times New Roman" w:hAnsi="Times New Roman"/>
          <w:spacing w:val="-3"/>
        </w:rPr>
        <w:t xml:space="preserve"> may include holding offices of leadership in local, regional, national, or community, profession</w:t>
      </w:r>
      <w:r w:rsidR="00C81EC1" w:rsidRPr="001B34F3">
        <w:rPr>
          <w:rFonts w:ascii="Times New Roman" w:hAnsi="Times New Roman"/>
          <w:spacing w:val="-3"/>
        </w:rPr>
        <w:t>al, or academic organizations, and p</w:t>
      </w:r>
      <w:r w:rsidRPr="001B34F3">
        <w:rPr>
          <w:rFonts w:ascii="Times New Roman" w:hAnsi="Times New Roman"/>
          <w:spacing w:val="-3"/>
        </w:rPr>
        <w:t>roviding expertise to local, regional or national groups which reflects positively on the discipline and the University.</w:t>
      </w:r>
    </w:p>
    <w:p w:rsidR="001C288C" w:rsidRPr="001B34F3" w:rsidRDefault="001C288C" w:rsidP="00E13B8C">
      <w:pPr>
        <w:tabs>
          <w:tab w:val="center" w:pos="4680"/>
        </w:tabs>
        <w:suppressAutoHyphens/>
        <w:jc w:val="center"/>
        <w:rPr>
          <w:rFonts w:ascii="Times New Roman" w:hAnsi="Times New Roman"/>
          <w:spacing w:val="-3"/>
        </w:rPr>
      </w:pPr>
    </w:p>
    <w:p w:rsidR="001C288C" w:rsidRPr="001B34F3" w:rsidRDefault="001C288C" w:rsidP="00E13B8C">
      <w:pPr>
        <w:tabs>
          <w:tab w:val="center" w:pos="4680"/>
        </w:tabs>
        <w:suppressAutoHyphens/>
        <w:jc w:val="center"/>
        <w:rPr>
          <w:rFonts w:ascii="Times New Roman" w:hAnsi="Times New Roman"/>
          <w:spacing w:val="-3"/>
        </w:rPr>
      </w:pPr>
    </w:p>
    <w:p w:rsidR="001C288C" w:rsidRPr="001B34F3" w:rsidRDefault="001C288C" w:rsidP="00E13B8C">
      <w:pPr>
        <w:tabs>
          <w:tab w:val="center" w:pos="4680"/>
        </w:tabs>
        <w:suppressAutoHyphens/>
        <w:jc w:val="center"/>
        <w:rPr>
          <w:rFonts w:ascii="Times New Roman" w:hAnsi="Times New Roman"/>
          <w:spacing w:val="-3"/>
        </w:rPr>
      </w:pPr>
    </w:p>
    <w:p w:rsidR="002B26FF" w:rsidRPr="001B34F3" w:rsidRDefault="00975F4E" w:rsidP="00E13B8C">
      <w:pPr>
        <w:tabs>
          <w:tab w:val="center" w:pos="4680"/>
        </w:tabs>
        <w:suppressAutoHyphens/>
        <w:jc w:val="center"/>
        <w:rPr>
          <w:rFonts w:ascii="Times New Roman" w:hAnsi="Times New Roman"/>
          <w:spacing w:val="-3"/>
        </w:rPr>
      </w:pPr>
      <w:r w:rsidRPr="001B34F3">
        <w:rPr>
          <w:rFonts w:ascii="Times New Roman" w:hAnsi="Times New Roman"/>
          <w:b/>
          <w:spacing w:val="-3"/>
          <w:u w:val="single"/>
        </w:rPr>
        <w:t>Merit Increases</w:t>
      </w:r>
    </w:p>
    <w:p w:rsidR="002B26FF" w:rsidRPr="001B34F3" w:rsidRDefault="002B26FF" w:rsidP="00B05464">
      <w:pPr>
        <w:tabs>
          <w:tab w:val="left" w:pos="-720"/>
        </w:tabs>
        <w:suppressAutoHyphens/>
        <w:jc w:val="both"/>
        <w:rPr>
          <w:rFonts w:ascii="Times New Roman" w:hAnsi="Times New Roman"/>
          <w:spacing w:val="-3"/>
        </w:rPr>
      </w:pPr>
    </w:p>
    <w:p w:rsidR="00975F4E" w:rsidRDefault="00975F4E" w:rsidP="00B05464">
      <w:pPr>
        <w:tabs>
          <w:tab w:val="left" w:pos="-720"/>
        </w:tabs>
        <w:suppressAutoHyphens/>
        <w:jc w:val="both"/>
        <w:rPr>
          <w:rFonts w:ascii="Times New Roman" w:hAnsi="Times New Roman"/>
          <w:spacing w:val="-3"/>
        </w:rPr>
      </w:pPr>
      <w:r w:rsidRPr="001B34F3">
        <w:rPr>
          <w:rFonts w:ascii="Times New Roman" w:hAnsi="Times New Roman"/>
          <w:spacing w:val="-3"/>
        </w:rPr>
        <w:t xml:space="preserve">Each year all faculty members will be evaluated for the purposes of improving individual performance, determining merit increases, and departmental success. The individual faculty member will be given merit increases based on individual productivity. The criteria for the respective ranks of Assistant, Associate, and Full Professor will be used in determining the yearly percentage salary increase for </w:t>
      </w:r>
      <w:r w:rsidRPr="001B34F3">
        <w:rPr>
          <w:rFonts w:ascii="Times New Roman" w:hAnsi="Times New Roman"/>
          <w:b/>
          <w:spacing w:val="-3"/>
        </w:rPr>
        <w:t>teaching</w:t>
      </w:r>
      <w:r w:rsidRPr="001B34F3">
        <w:rPr>
          <w:rFonts w:ascii="Times New Roman" w:hAnsi="Times New Roman"/>
          <w:spacing w:val="-3"/>
        </w:rPr>
        <w:t xml:space="preserve">, </w:t>
      </w:r>
      <w:r w:rsidRPr="001B34F3">
        <w:rPr>
          <w:rFonts w:ascii="Times New Roman" w:hAnsi="Times New Roman"/>
          <w:b/>
          <w:spacing w:val="-3"/>
        </w:rPr>
        <w:t>research/scholarship</w:t>
      </w:r>
      <w:r w:rsidRPr="001B34F3">
        <w:rPr>
          <w:rFonts w:ascii="Times New Roman" w:hAnsi="Times New Roman"/>
          <w:spacing w:val="-3"/>
        </w:rPr>
        <w:t xml:space="preserve">, </w:t>
      </w:r>
      <w:r w:rsidRPr="001B34F3">
        <w:rPr>
          <w:rFonts w:ascii="Times New Roman" w:hAnsi="Times New Roman"/>
          <w:b/>
          <w:spacing w:val="-3"/>
        </w:rPr>
        <w:t>and service</w:t>
      </w:r>
      <w:r w:rsidRPr="001B34F3">
        <w:rPr>
          <w:rFonts w:ascii="Times New Roman" w:hAnsi="Times New Roman"/>
          <w:spacing w:val="-3"/>
        </w:rPr>
        <w:t xml:space="preserve"> contributions of individual faculty. Considerations for merit raises will place the greatest emphasis</w:t>
      </w:r>
      <w:r w:rsidR="00E247CC" w:rsidRPr="001B34F3">
        <w:rPr>
          <w:rFonts w:ascii="Times New Roman" w:hAnsi="Times New Roman"/>
          <w:spacing w:val="-3"/>
        </w:rPr>
        <w:t xml:space="preserve"> (70 – 60%) </w:t>
      </w:r>
      <w:r w:rsidRPr="001B34F3">
        <w:rPr>
          <w:rFonts w:ascii="Times New Roman" w:hAnsi="Times New Roman"/>
          <w:spacing w:val="-3"/>
        </w:rPr>
        <w:t>on the primary faculty responsibility of effective teaching. In general, faculty contributions will be weighted more heavily in the are</w:t>
      </w:r>
      <w:r w:rsidR="00E247CC" w:rsidRPr="001B34F3">
        <w:rPr>
          <w:rFonts w:ascii="Times New Roman" w:hAnsi="Times New Roman"/>
          <w:spacing w:val="-3"/>
        </w:rPr>
        <w:t>a of research and publication (25-15</w:t>
      </w:r>
      <w:r w:rsidRPr="001B34F3">
        <w:rPr>
          <w:rFonts w:ascii="Times New Roman" w:hAnsi="Times New Roman"/>
          <w:spacing w:val="-3"/>
        </w:rPr>
        <w:t>%</w:t>
      </w:r>
      <w:r w:rsidR="00650E4F" w:rsidRPr="001B34F3">
        <w:rPr>
          <w:rFonts w:ascii="Times New Roman" w:hAnsi="Times New Roman"/>
          <w:spacing w:val="-3"/>
        </w:rPr>
        <w:t>) than in the area of service (20-10</w:t>
      </w:r>
      <w:r w:rsidRPr="001B34F3">
        <w:rPr>
          <w:rFonts w:ascii="Times New Roman" w:hAnsi="Times New Roman"/>
          <w:spacing w:val="-3"/>
        </w:rPr>
        <w:t>%). Occasionally, the needs of the department may require a different weighting distribution determined by prior agreement between the faculty and chair.</w:t>
      </w:r>
      <w:bookmarkStart w:id="0" w:name="_GoBack"/>
      <w:bookmarkEnd w:id="0"/>
    </w:p>
    <w:sectPr w:rsidR="00975F4E" w:rsidSect="001C288C">
      <w:endnotePr>
        <w:numFmt w:val="decimal"/>
      </w:endnotePr>
      <w:pgSz w:w="12240" w:h="15840"/>
      <w:pgMar w:top="720" w:right="720" w:bottom="720" w:left="1152"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54" w:rsidRDefault="00FA1D54">
      <w:pPr>
        <w:spacing w:line="20" w:lineRule="exact"/>
      </w:pPr>
    </w:p>
  </w:endnote>
  <w:endnote w:type="continuationSeparator" w:id="0">
    <w:p w:rsidR="00FA1D54" w:rsidRDefault="00FA1D54">
      <w:r>
        <w:t xml:space="preserve"> </w:t>
      </w:r>
    </w:p>
  </w:endnote>
  <w:endnote w:type="continuationNotice" w:id="1">
    <w:p w:rsidR="00FA1D54" w:rsidRDefault="00FA1D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54" w:rsidRDefault="00FA1D54">
      <w:r>
        <w:separator/>
      </w:r>
    </w:p>
  </w:footnote>
  <w:footnote w:type="continuationSeparator" w:id="0">
    <w:p w:rsidR="00FA1D54" w:rsidRDefault="00FA1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793B"/>
    <w:multiLevelType w:val="hybridMultilevel"/>
    <w:tmpl w:val="63844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0B1C"/>
    <w:multiLevelType w:val="hybridMultilevel"/>
    <w:tmpl w:val="BD60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3850"/>
    <w:multiLevelType w:val="hybridMultilevel"/>
    <w:tmpl w:val="17CEB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839DF"/>
    <w:multiLevelType w:val="hybridMultilevel"/>
    <w:tmpl w:val="DF7AE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4B"/>
    <w:rsid w:val="0002150D"/>
    <w:rsid w:val="00043B69"/>
    <w:rsid w:val="00070AD9"/>
    <w:rsid w:val="000A3649"/>
    <w:rsid w:val="00112B4B"/>
    <w:rsid w:val="001A41C8"/>
    <w:rsid w:val="001B34F3"/>
    <w:rsid w:val="001C288C"/>
    <w:rsid w:val="00221906"/>
    <w:rsid w:val="00230F1C"/>
    <w:rsid w:val="002B26FF"/>
    <w:rsid w:val="00383F40"/>
    <w:rsid w:val="00390BB2"/>
    <w:rsid w:val="003E588A"/>
    <w:rsid w:val="004C7210"/>
    <w:rsid w:val="00567AD4"/>
    <w:rsid w:val="00595914"/>
    <w:rsid w:val="005A5E04"/>
    <w:rsid w:val="005D27CC"/>
    <w:rsid w:val="005F040D"/>
    <w:rsid w:val="0062283A"/>
    <w:rsid w:val="00650E4F"/>
    <w:rsid w:val="006C2689"/>
    <w:rsid w:val="006D52F8"/>
    <w:rsid w:val="00755496"/>
    <w:rsid w:val="007C2497"/>
    <w:rsid w:val="008217CA"/>
    <w:rsid w:val="00975F4E"/>
    <w:rsid w:val="009A23B1"/>
    <w:rsid w:val="009D3C0A"/>
    <w:rsid w:val="00A11676"/>
    <w:rsid w:val="00B05464"/>
    <w:rsid w:val="00B3262A"/>
    <w:rsid w:val="00B81991"/>
    <w:rsid w:val="00C00003"/>
    <w:rsid w:val="00C81EC1"/>
    <w:rsid w:val="00D11563"/>
    <w:rsid w:val="00D416C8"/>
    <w:rsid w:val="00D91101"/>
    <w:rsid w:val="00DA11FC"/>
    <w:rsid w:val="00DC3467"/>
    <w:rsid w:val="00E13457"/>
    <w:rsid w:val="00E13B8C"/>
    <w:rsid w:val="00E247CC"/>
    <w:rsid w:val="00F20C92"/>
    <w:rsid w:val="00F52506"/>
    <w:rsid w:val="00F659BA"/>
    <w:rsid w:val="00FA1D54"/>
    <w:rsid w:val="00FD00BF"/>
    <w:rsid w:val="00FD6A30"/>
    <w:rsid w:val="00FF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F5257-A7F1-48A7-BF0C-B7EFC610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FF"/>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B26FF"/>
  </w:style>
  <w:style w:type="character" w:styleId="EndnoteReference">
    <w:name w:val="endnote reference"/>
    <w:basedOn w:val="DefaultParagraphFont"/>
    <w:semiHidden/>
    <w:rsid w:val="002B26FF"/>
    <w:rPr>
      <w:vertAlign w:val="superscript"/>
    </w:rPr>
  </w:style>
  <w:style w:type="paragraph" w:styleId="FootnoteText">
    <w:name w:val="footnote text"/>
    <w:basedOn w:val="Normal"/>
    <w:semiHidden/>
    <w:rsid w:val="002B26FF"/>
  </w:style>
  <w:style w:type="character" w:styleId="FootnoteReference">
    <w:name w:val="footnote reference"/>
    <w:basedOn w:val="DefaultParagraphFont"/>
    <w:semiHidden/>
    <w:rsid w:val="002B26FF"/>
    <w:rPr>
      <w:vertAlign w:val="superscript"/>
    </w:rPr>
  </w:style>
  <w:style w:type="paragraph" w:styleId="TOC1">
    <w:name w:val="toc 1"/>
    <w:basedOn w:val="Normal"/>
    <w:next w:val="Normal"/>
    <w:semiHidden/>
    <w:rsid w:val="002B26FF"/>
    <w:pPr>
      <w:tabs>
        <w:tab w:val="right" w:leader="dot" w:pos="9360"/>
      </w:tabs>
      <w:suppressAutoHyphens/>
      <w:spacing w:before="480"/>
      <w:ind w:left="720" w:right="720" w:hanging="720"/>
    </w:pPr>
  </w:style>
  <w:style w:type="paragraph" w:styleId="TOC2">
    <w:name w:val="toc 2"/>
    <w:basedOn w:val="Normal"/>
    <w:next w:val="Normal"/>
    <w:semiHidden/>
    <w:rsid w:val="002B26FF"/>
    <w:pPr>
      <w:tabs>
        <w:tab w:val="right" w:leader="dot" w:pos="9360"/>
      </w:tabs>
      <w:suppressAutoHyphens/>
      <w:ind w:left="1440" w:right="720" w:hanging="720"/>
    </w:pPr>
  </w:style>
  <w:style w:type="paragraph" w:styleId="TOC3">
    <w:name w:val="toc 3"/>
    <w:basedOn w:val="Normal"/>
    <w:next w:val="Normal"/>
    <w:semiHidden/>
    <w:rsid w:val="002B26FF"/>
    <w:pPr>
      <w:tabs>
        <w:tab w:val="right" w:leader="dot" w:pos="9360"/>
      </w:tabs>
      <w:suppressAutoHyphens/>
      <w:ind w:left="2160" w:right="720" w:hanging="720"/>
    </w:pPr>
  </w:style>
  <w:style w:type="paragraph" w:styleId="TOC4">
    <w:name w:val="toc 4"/>
    <w:basedOn w:val="Normal"/>
    <w:next w:val="Normal"/>
    <w:semiHidden/>
    <w:rsid w:val="002B26FF"/>
    <w:pPr>
      <w:tabs>
        <w:tab w:val="right" w:leader="dot" w:pos="9360"/>
      </w:tabs>
      <w:suppressAutoHyphens/>
      <w:ind w:left="2880" w:right="720" w:hanging="720"/>
    </w:pPr>
  </w:style>
  <w:style w:type="paragraph" w:styleId="TOC5">
    <w:name w:val="toc 5"/>
    <w:basedOn w:val="Normal"/>
    <w:next w:val="Normal"/>
    <w:semiHidden/>
    <w:rsid w:val="002B26FF"/>
    <w:pPr>
      <w:tabs>
        <w:tab w:val="right" w:leader="dot" w:pos="9360"/>
      </w:tabs>
      <w:suppressAutoHyphens/>
      <w:ind w:left="3600" w:right="720" w:hanging="720"/>
    </w:pPr>
  </w:style>
  <w:style w:type="paragraph" w:styleId="TOC6">
    <w:name w:val="toc 6"/>
    <w:basedOn w:val="Normal"/>
    <w:next w:val="Normal"/>
    <w:semiHidden/>
    <w:rsid w:val="002B26FF"/>
    <w:pPr>
      <w:tabs>
        <w:tab w:val="right" w:pos="9360"/>
      </w:tabs>
      <w:suppressAutoHyphens/>
      <w:ind w:left="720" w:hanging="720"/>
    </w:pPr>
  </w:style>
  <w:style w:type="paragraph" w:styleId="TOC7">
    <w:name w:val="toc 7"/>
    <w:basedOn w:val="Normal"/>
    <w:next w:val="Normal"/>
    <w:semiHidden/>
    <w:rsid w:val="002B26FF"/>
    <w:pPr>
      <w:suppressAutoHyphens/>
      <w:ind w:left="720" w:hanging="720"/>
    </w:pPr>
  </w:style>
  <w:style w:type="paragraph" w:styleId="TOC8">
    <w:name w:val="toc 8"/>
    <w:basedOn w:val="Normal"/>
    <w:next w:val="Normal"/>
    <w:semiHidden/>
    <w:rsid w:val="002B26FF"/>
    <w:pPr>
      <w:tabs>
        <w:tab w:val="right" w:pos="9360"/>
      </w:tabs>
      <w:suppressAutoHyphens/>
      <w:ind w:left="720" w:hanging="720"/>
    </w:pPr>
  </w:style>
  <w:style w:type="paragraph" w:styleId="TOC9">
    <w:name w:val="toc 9"/>
    <w:basedOn w:val="Normal"/>
    <w:next w:val="Normal"/>
    <w:semiHidden/>
    <w:rsid w:val="002B26FF"/>
    <w:pPr>
      <w:tabs>
        <w:tab w:val="right" w:leader="dot" w:pos="9360"/>
      </w:tabs>
      <w:suppressAutoHyphens/>
      <w:ind w:left="720" w:hanging="720"/>
    </w:pPr>
  </w:style>
  <w:style w:type="paragraph" w:styleId="Index1">
    <w:name w:val="index 1"/>
    <w:basedOn w:val="Normal"/>
    <w:next w:val="Normal"/>
    <w:semiHidden/>
    <w:rsid w:val="002B26FF"/>
    <w:pPr>
      <w:tabs>
        <w:tab w:val="right" w:leader="dot" w:pos="9360"/>
      </w:tabs>
      <w:suppressAutoHyphens/>
      <w:ind w:left="1440" w:right="720" w:hanging="1440"/>
    </w:pPr>
  </w:style>
  <w:style w:type="paragraph" w:styleId="Index2">
    <w:name w:val="index 2"/>
    <w:basedOn w:val="Normal"/>
    <w:next w:val="Normal"/>
    <w:semiHidden/>
    <w:rsid w:val="002B26FF"/>
    <w:pPr>
      <w:tabs>
        <w:tab w:val="right" w:leader="dot" w:pos="9360"/>
      </w:tabs>
      <w:suppressAutoHyphens/>
      <w:ind w:left="1440" w:right="720" w:hanging="720"/>
    </w:pPr>
  </w:style>
  <w:style w:type="paragraph" w:styleId="TOAHeading">
    <w:name w:val="toa heading"/>
    <w:basedOn w:val="Normal"/>
    <w:next w:val="Normal"/>
    <w:semiHidden/>
    <w:rsid w:val="002B26FF"/>
    <w:pPr>
      <w:tabs>
        <w:tab w:val="right" w:pos="9360"/>
      </w:tabs>
      <w:suppressAutoHyphens/>
    </w:pPr>
  </w:style>
  <w:style w:type="paragraph" w:styleId="Caption">
    <w:name w:val="caption"/>
    <w:basedOn w:val="Normal"/>
    <w:next w:val="Normal"/>
    <w:qFormat/>
    <w:rsid w:val="002B26FF"/>
  </w:style>
  <w:style w:type="character" w:customStyle="1" w:styleId="EquationCaption">
    <w:name w:val="_Equation Caption"/>
    <w:rsid w:val="002B26FF"/>
  </w:style>
  <w:style w:type="paragraph" w:styleId="BalloonText">
    <w:name w:val="Balloon Text"/>
    <w:basedOn w:val="Normal"/>
    <w:link w:val="BalloonTextChar"/>
    <w:uiPriority w:val="99"/>
    <w:semiHidden/>
    <w:unhideWhenUsed/>
    <w:rsid w:val="00C00003"/>
    <w:rPr>
      <w:rFonts w:ascii="Tahoma" w:hAnsi="Tahoma" w:cs="Tahoma"/>
      <w:sz w:val="16"/>
      <w:szCs w:val="16"/>
    </w:rPr>
  </w:style>
  <w:style w:type="character" w:customStyle="1" w:styleId="BalloonTextChar">
    <w:name w:val="Balloon Text Char"/>
    <w:basedOn w:val="DefaultParagraphFont"/>
    <w:link w:val="BalloonText"/>
    <w:uiPriority w:val="99"/>
    <w:semiHidden/>
    <w:rsid w:val="00C00003"/>
    <w:rPr>
      <w:rFonts w:ascii="Tahoma" w:hAnsi="Tahoma" w:cs="Tahoma"/>
      <w:sz w:val="16"/>
      <w:szCs w:val="16"/>
    </w:rPr>
  </w:style>
  <w:style w:type="paragraph" w:styleId="ListParagraph">
    <w:name w:val="List Paragraph"/>
    <w:basedOn w:val="Normal"/>
    <w:uiPriority w:val="34"/>
    <w:qFormat/>
    <w:rsid w:val="001C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2000 Customer</dc:creator>
  <cp:keywords/>
  <dc:description/>
  <cp:lastModifiedBy>Shaun E. Schmidt</cp:lastModifiedBy>
  <cp:revision>3</cp:revision>
  <cp:lastPrinted>2017-02-06T15:10:00Z</cp:lastPrinted>
  <dcterms:created xsi:type="dcterms:W3CDTF">2018-03-30T17:54:00Z</dcterms:created>
  <dcterms:modified xsi:type="dcterms:W3CDTF">2018-04-06T17:08:00Z</dcterms:modified>
</cp:coreProperties>
</file>